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8A28BD" w14:paraId="509A2AA4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1BB3E31C" w14:textId="77777777" w:rsidR="00041727" w:rsidRPr="008A28BD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8A28BD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8A28BD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8A28BD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5F1C6A22" w14:textId="77777777" w:rsidR="00041727" w:rsidRPr="008A28BD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8A28BD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64896" behindDoc="1" locked="1" layoutInCell="1" allowOverlap="1" wp14:anchorId="633921D9" wp14:editId="21D467F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8A28BD">
              <w:rPr>
                <w:rStyle w:val="StyleComplex11ptBoldAccent1"/>
                <w:lang w:val="es-ES"/>
              </w:rPr>
              <w:t>Organización Meteorológica Mundial</w:t>
            </w:r>
          </w:p>
          <w:p w14:paraId="602086B2" w14:textId="77777777" w:rsidR="00041727" w:rsidRPr="008A28BD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8A28BD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5ADC4D87" w14:textId="77777777" w:rsidR="00041727" w:rsidRPr="008A28BD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A28BD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8A28BD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8A28BD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8A28BD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8A28BD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50971F57" w14:textId="0C40564B" w:rsidR="00041727" w:rsidRPr="008A28BD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A28BD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8A28BD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8A28BD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8A6FA3" w:rsidRPr="008A28BD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3</w:t>
            </w:r>
          </w:p>
        </w:tc>
      </w:tr>
      <w:tr w:rsidR="00041727" w:rsidRPr="008A28BD" w14:paraId="07E17208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562ADD8" w14:textId="77777777" w:rsidR="00041727" w:rsidRPr="008A28BD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75B41041" w14:textId="77777777" w:rsidR="00041727" w:rsidRPr="008A28BD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17E0972F" w14:textId="69F73070" w:rsidR="00041727" w:rsidRPr="008A28BD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8A28BD">
              <w:rPr>
                <w:lang w:val="es-ES"/>
              </w:rPr>
              <w:t>Presentado por</w:t>
            </w:r>
            <w:r w:rsidR="00041727" w:rsidRPr="008A28BD">
              <w:rPr>
                <w:lang w:val="es-ES"/>
              </w:rPr>
              <w:t>:</w:t>
            </w:r>
            <w:r w:rsidR="00041727" w:rsidRPr="008A28BD">
              <w:rPr>
                <w:lang w:val="es-ES"/>
              </w:rPr>
              <w:br/>
            </w:r>
            <w:r w:rsidR="008A6FA3" w:rsidRPr="008A28BD">
              <w:rPr>
                <w:bCs/>
                <w:color w:val="365F91"/>
                <w:lang w:val="es-ES"/>
              </w:rPr>
              <w:t>presidente del TCC</w:t>
            </w:r>
          </w:p>
          <w:p w14:paraId="1E14AC6F" w14:textId="7C772CB6" w:rsidR="00041727" w:rsidRPr="008A28BD" w:rsidRDefault="008A6FA3" w:rsidP="00527225">
            <w:pPr>
              <w:pStyle w:val="StyleComplexTahomaComplex11ptAccent1RightAfter-"/>
              <w:rPr>
                <w:lang w:val="es-ES"/>
              </w:rPr>
            </w:pPr>
            <w:r w:rsidRPr="008A28BD">
              <w:rPr>
                <w:bCs/>
                <w:color w:val="365F91"/>
                <w:lang w:val="es-ES"/>
              </w:rPr>
              <w:t>19</w:t>
            </w:r>
            <w:r w:rsidR="00527225" w:rsidRPr="008A28BD">
              <w:rPr>
                <w:lang w:val="es-ES"/>
              </w:rPr>
              <w:t>.</w:t>
            </w:r>
            <w:r w:rsidRPr="008A28BD">
              <w:rPr>
                <w:lang w:val="es-ES"/>
              </w:rPr>
              <w:t>XII</w:t>
            </w:r>
            <w:r w:rsidR="00A41E35" w:rsidRPr="008A28BD">
              <w:rPr>
                <w:lang w:val="es-ES"/>
              </w:rPr>
              <w:t>.202</w:t>
            </w:r>
            <w:r w:rsidR="00581CFE" w:rsidRPr="008A28BD">
              <w:rPr>
                <w:lang w:val="es-ES"/>
              </w:rPr>
              <w:t>2</w:t>
            </w:r>
          </w:p>
          <w:p w14:paraId="1A27E74F" w14:textId="77777777" w:rsidR="00041727" w:rsidRPr="008A28BD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A28BD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6EE05673" w14:textId="26BE7975" w:rsidR="00C4470F" w:rsidRPr="008A28BD" w:rsidRDefault="001527A3" w:rsidP="00514EAC">
      <w:pPr>
        <w:pStyle w:val="WMOBodyText"/>
        <w:ind w:left="3969" w:hanging="3969"/>
        <w:rPr>
          <w:b/>
          <w:lang w:val="es-ES"/>
        </w:rPr>
      </w:pPr>
      <w:r w:rsidRPr="008A28BD">
        <w:rPr>
          <w:b/>
          <w:lang w:val="es-ES"/>
        </w:rPr>
        <w:t xml:space="preserve">PUNTO </w:t>
      </w:r>
      <w:r w:rsidR="008A6FA3" w:rsidRPr="008A28BD">
        <w:rPr>
          <w:b/>
          <w:lang w:val="es-ES"/>
        </w:rPr>
        <w:t>3</w:t>
      </w:r>
      <w:r w:rsidRPr="008A28BD">
        <w:rPr>
          <w:b/>
          <w:lang w:val="es-ES"/>
        </w:rPr>
        <w:t xml:space="preserve"> DEL ORDEN DEL DÍA:</w:t>
      </w:r>
      <w:r w:rsidR="00A41E35" w:rsidRPr="008A28BD">
        <w:rPr>
          <w:b/>
          <w:lang w:val="es-ES"/>
        </w:rPr>
        <w:tab/>
      </w:r>
      <w:r w:rsidR="008A6FA3" w:rsidRPr="008A28BD">
        <w:rPr>
          <w:b/>
          <w:lang w:val="es-ES"/>
        </w:rPr>
        <w:t xml:space="preserve">APLICACIÓN DE LAS DECISIONES </w:t>
      </w:r>
      <w:r w:rsidR="008A6FA3" w:rsidRPr="008A28BD">
        <w:rPr>
          <w:b/>
          <w:lang w:val="es-ES"/>
        </w:rPr>
        <w:br/>
        <w:t>DEL CONGRESO: CUESTIONES TÉCNICAS</w:t>
      </w:r>
    </w:p>
    <w:p w14:paraId="23499DD0" w14:textId="296D98A6" w:rsidR="00814CC6" w:rsidRPr="008A28BD" w:rsidRDefault="008A6FA3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8A28BD">
        <w:rPr>
          <w:lang w:val="es-ES"/>
        </w:rPr>
        <w:t>Aprobación de documentos sin debate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772802" w14:paraId="1CF25EB1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5A37EB7C" w14:textId="77777777" w:rsidR="00EC7CF5" w:rsidRPr="008A28BD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8A28BD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2E51D35B" w14:textId="767CE63B" w:rsidR="00581CFE" w:rsidRPr="008A28BD" w:rsidRDefault="00581CFE" w:rsidP="008A6FA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A28BD">
              <w:rPr>
                <w:b/>
                <w:bCs/>
                <w:lang w:val="es-ES"/>
              </w:rPr>
              <w:t>Documento presentado por:</w:t>
            </w:r>
            <w:r w:rsidRPr="008A28BD">
              <w:rPr>
                <w:lang w:val="es-ES"/>
              </w:rPr>
              <w:t xml:space="preserve"> </w:t>
            </w:r>
            <w:r w:rsidR="008A6FA3" w:rsidRPr="008A28BD">
              <w:rPr>
                <w:lang w:val="es-ES"/>
              </w:rPr>
              <w:t xml:space="preserve">el presidente del Comité de Coordinación Técnica (TCC) en virtud del párrafo 2.8 del </w:t>
            </w:r>
            <w:hyperlink r:id="rId12" w:anchor=".Y9uTHXbMKUk" w:history="1">
              <w:r w:rsidR="008A6FA3" w:rsidRPr="008A28BD">
                <w:rPr>
                  <w:rStyle w:val="Hyperlink"/>
                  <w:i/>
                  <w:iCs/>
                  <w:lang w:val="es-ES"/>
                </w:rPr>
                <w:t>Reglamento del Consejo Ejecutivo</w:t>
              </w:r>
            </w:hyperlink>
            <w:r w:rsidR="008A6FA3" w:rsidRPr="008A28BD">
              <w:rPr>
                <w:lang w:val="es-ES"/>
              </w:rPr>
              <w:t xml:space="preserve"> (OMM-Nº 1256).</w:t>
            </w:r>
          </w:p>
          <w:p w14:paraId="142625B3" w14:textId="03B7CF31" w:rsidR="00581CFE" w:rsidRPr="008A28BD" w:rsidRDefault="00581CFE" w:rsidP="008A6FA3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8A28BD">
              <w:rPr>
                <w:b/>
                <w:bCs/>
                <w:lang w:val="es-ES"/>
              </w:rPr>
              <w:t xml:space="preserve">Objetivo estratégico para 2020-2023: </w:t>
            </w:r>
            <w:r w:rsidR="008A6FA3" w:rsidRPr="008A28BD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1680FD20" w14:textId="4A867419" w:rsidR="00581CFE" w:rsidRPr="008A28BD" w:rsidRDefault="00581CFE" w:rsidP="008A6FA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A28BD">
              <w:rPr>
                <w:b/>
                <w:bCs/>
                <w:lang w:val="es-ES"/>
              </w:rPr>
              <w:t>Consecuencias financieras y administrativas:</w:t>
            </w:r>
            <w:r w:rsidRPr="008A28BD">
              <w:rPr>
                <w:lang w:val="es-ES"/>
              </w:rPr>
              <w:t xml:space="preserve"> </w:t>
            </w:r>
            <w:r w:rsidR="008A6FA3" w:rsidRPr="008A28BD">
              <w:rPr>
                <w:lang w:val="es-ES"/>
              </w:rPr>
              <w:t>dentro de los parámetros del Plan Estratégico y del Plan de Funcionamiento para 2020-2023; en el Plan Estratégico y el Plan de Funcionamiento para 2024-2027 se pondrán de manifiesto consecuencias adicionales.</w:t>
            </w:r>
          </w:p>
          <w:p w14:paraId="6D7B77D5" w14:textId="6FE14CD0" w:rsidR="00581CFE" w:rsidRPr="008A28BD" w:rsidRDefault="00581CFE" w:rsidP="008A6FA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A28BD">
              <w:rPr>
                <w:b/>
                <w:bCs/>
                <w:lang w:val="es-ES"/>
              </w:rPr>
              <w:t>Principales encargados de la ejecución:</w:t>
            </w:r>
            <w:r w:rsidRPr="008A28BD">
              <w:rPr>
                <w:lang w:val="es-ES"/>
              </w:rPr>
              <w:t xml:space="preserve"> </w:t>
            </w:r>
            <w:r w:rsidR="008A6FA3" w:rsidRPr="008A28BD">
              <w:rPr>
                <w:lang w:val="es-ES"/>
              </w:rPr>
              <w:t>los Miembros, los órganos de la Organización Meteorológica Mundial y personas a las que se hace referencia en los documentos cuya aprobación sin debate se recomienda.</w:t>
            </w:r>
          </w:p>
          <w:p w14:paraId="34B123F6" w14:textId="062085F2" w:rsidR="00581CFE" w:rsidRPr="008A28BD" w:rsidRDefault="00581CFE" w:rsidP="008A6FA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A28BD">
              <w:rPr>
                <w:b/>
                <w:bCs/>
                <w:lang w:val="es-ES"/>
              </w:rPr>
              <w:t>Cronograma:</w:t>
            </w:r>
            <w:r w:rsidRPr="008A28BD">
              <w:rPr>
                <w:lang w:val="es-ES"/>
              </w:rPr>
              <w:t xml:space="preserve"> </w:t>
            </w:r>
            <w:r w:rsidR="008A6FA3" w:rsidRPr="008A28BD">
              <w:rPr>
                <w:lang w:val="es-ES"/>
              </w:rPr>
              <w:t>76ª reunión del Consejo Ejecutivo en lo que respecta a la decisión; los diversos documentos cuya aprobación sin debate se recomienda conllevan diversos cronogramas distintos.</w:t>
            </w:r>
          </w:p>
          <w:p w14:paraId="0ABD5855" w14:textId="58469992" w:rsidR="00581CFE" w:rsidRPr="008A28BD" w:rsidRDefault="00581CFE" w:rsidP="008A6FA3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8A28BD">
              <w:rPr>
                <w:b/>
                <w:bCs/>
                <w:lang w:val="es-ES"/>
              </w:rPr>
              <w:t>Medida prevista:</w:t>
            </w:r>
            <w:r w:rsidRPr="008A28BD">
              <w:rPr>
                <w:lang w:val="es-ES"/>
              </w:rPr>
              <w:t xml:space="preserve"> </w:t>
            </w:r>
            <w:r w:rsidR="008A6FA3" w:rsidRPr="008A28BD">
              <w:rPr>
                <w:lang w:val="es-ES"/>
              </w:rPr>
              <w:t>adoptar el proyecto de Decisión 3/1 (EC-76).</w:t>
            </w:r>
          </w:p>
        </w:tc>
      </w:tr>
      <w:tr w:rsidR="00581CFE" w:rsidRPr="00772802" w14:paraId="189D4F6E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D6B" w14:textId="77777777" w:rsidR="00581CFE" w:rsidRPr="008A28BD" w:rsidRDefault="00581CFE" w:rsidP="003C5AB0">
            <w:pPr>
              <w:pStyle w:val="WMOBodyText"/>
              <w:spacing w:before="120" w:after="120"/>
              <w:jc w:val="left"/>
              <w:rPr>
                <w:lang w:val="es-ES"/>
              </w:rPr>
            </w:pPr>
          </w:p>
        </w:tc>
      </w:tr>
    </w:tbl>
    <w:p w14:paraId="65FCF338" w14:textId="77777777" w:rsidR="00B01B02" w:rsidRPr="008A28BD" w:rsidRDefault="00B01B02" w:rsidP="00EC7CF5">
      <w:pPr>
        <w:pStyle w:val="WMOBodyText"/>
        <w:spacing w:before="0"/>
        <w:rPr>
          <w:lang w:val="es-ES"/>
        </w:rPr>
      </w:pPr>
    </w:p>
    <w:p w14:paraId="340B9764" w14:textId="77777777" w:rsidR="00B01B02" w:rsidRPr="008A28BD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8A28BD">
        <w:rPr>
          <w:lang w:val="es-ES"/>
        </w:rPr>
        <w:br w:type="page"/>
      </w:r>
    </w:p>
    <w:p w14:paraId="17C79727" w14:textId="277E53F7" w:rsidR="00581CFE" w:rsidRPr="008A28BD" w:rsidRDefault="00581CFE" w:rsidP="00581CFE">
      <w:pPr>
        <w:pStyle w:val="Heading1"/>
        <w:rPr>
          <w:lang w:val="es-ES"/>
        </w:rPr>
      </w:pPr>
      <w:r w:rsidRPr="008A28BD">
        <w:rPr>
          <w:lang w:val="es-ES"/>
        </w:rPr>
        <w:lastRenderedPageBreak/>
        <w:t>PROYECTO DE DECISIÓN</w:t>
      </w:r>
    </w:p>
    <w:p w14:paraId="5EFE7ADF" w14:textId="10D57CA5" w:rsidR="00581CFE" w:rsidRPr="008A28BD" w:rsidRDefault="00581CFE" w:rsidP="00581CFE">
      <w:pPr>
        <w:pStyle w:val="Heading2"/>
        <w:rPr>
          <w:lang w:val="es-ES"/>
        </w:rPr>
      </w:pPr>
      <w:r w:rsidRPr="008A28BD">
        <w:rPr>
          <w:lang w:val="es-ES"/>
        </w:rPr>
        <w:t xml:space="preserve">Proyecto de Decisión </w:t>
      </w:r>
      <w:r w:rsidR="008A6FA3" w:rsidRPr="008A28BD">
        <w:rPr>
          <w:lang w:val="es-ES"/>
        </w:rPr>
        <w:t>3</w:t>
      </w:r>
      <w:r w:rsidRPr="008A28BD">
        <w:rPr>
          <w:lang w:val="es-ES"/>
        </w:rPr>
        <w:t>/1 (EC-76)</w:t>
      </w:r>
    </w:p>
    <w:p w14:paraId="63BCB6B2" w14:textId="7AB02EF7" w:rsidR="00581CFE" w:rsidRPr="008A28BD" w:rsidRDefault="008A6FA3" w:rsidP="00581CFE">
      <w:pPr>
        <w:pStyle w:val="Heading3"/>
        <w:rPr>
          <w:lang w:val="es-ES"/>
        </w:rPr>
      </w:pPr>
      <w:r w:rsidRPr="008A28BD">
        <w:rPr>
          <w:lang w:val="es-ES"/>
        </w:rPr>
        <w:t xml:space="preserve">Aprobación de resoluciones sin debate sobre la base de las recomendaciones </w:t>
      </w:r>
      <w:r w:rsidRPr="008A28BD">
        <w:rPr>
          <w:lang w:val="es-ES"/>
        </w:rPr>
        <w:br/>
        <w:t>del Comité de Coordinación Técnica</w:t>
      </w:r>
    </w:p>
    <w:p w14:paraId="59B9A3E7" w14:textId="551744A5" w:rsidR="00581CFE" w:rsidRPr="008A28BD" w:rsidRDefault="00581CFE" w:rsidP="00581CFE">
      <w:pPr>
        <w:pStyle w:val="StyleWMOBodyTextBold"/>
        <w:rPr>
          <w:lang w:val="es-ES"/>
        </w:rPr>
      </w:pPr>
      <w:r w:rsidRPr="008A28BD">
        <w:rPr>
          <w:lang w:val="es-ES"/>
        </w:rPr>
        <w:t>El Consejo Ejecutivo decide</w:t>
      </w:r>
      <w:r w:rsidR="008A6FA3" w:rsidRPr="008A28BD">
        <w:rPr>
          <w:lang w:val="es-ES"/>
        </w:rPr>
        <w:t>:</w:t>
      </w:r>
    </w:p>
    <w:p w14:paraId="54186BD8" w14:textId="5406C58C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1)</w:t>
      </w:r>
      <w:r w:rsidRPr="008A28BD">
        <w:rPr>
          <w:lang w:val="es-ES"/>
        </w:rPr>
        <w:tab/>
        <w:t>notar que las recomendaciones presentadas al Consejo Ejecutivo por parte de la Comisión de Aplicaciones y Servicios Meteorológicos, Climáticos, Hidrológicos y Medioambientales Conexos (SERCOM) y la Comisión de Observaciones, Infraestructura y Sistemas de Información (INFCOM) son el resultado de amplios debates y acuerdos de carácter intergubernamental que tuvieron lugar en sus respectivas segundas reuniones;</w:t>
      </w:r>
    </w:p>
    <w:p w14:paraId="47EE234C" w14:textId="2865A882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2)</w:t>
      </w:r>
      <w:r w:rsidRPr="008A28BD">
        <w:rPr>
          <w:lang w:val="es-ES"/>
        </w:rPr>
        <w:tab/>
        <w:t>aceptar las recomendaciones formuladas por el Comité de Coordinación Técnica (TCC)</w:t>
      </w:r>
      <w:r w:rsidR="00BF19D5" w:rsidRPr="008A28BD">
        <w:rPr>
          <w:lang w:val="es-ES"/>
        </w:rPr>
        <w:t>,</w:t>
      </w:r>
      <w:r w:rsidRPr="008A28BD">
        <w:rPr>
          <w:lang w:val="es-ES"/>
        </w:rPr>
        <w:t xml:space="preserve"> que figuran en el informe de su presidente (véase el documento </w:t>
      </w:r>
      <w:hyperlink r:id="rId13" w:history="1">
        <w:r w:rsidRPr="008A28BD">
          <w:rPr>
            <w:rStyle w:val="Hyperlink"/>
            <w:lang w:val="es-ES"/>
          </w:rPr>
          <w:t>EC-76/INF. 2.5(1-2)</w:t>
        </w:r>
      </w:hyperlink>
      <w:r w:rsidRPr="008A28BD">
        <w:rPr>
          <w:lang w:val="es-ES"/>
        </w:rPr>
        <w:t>)</w:t>
      </w:r>
      <w:r w:rsidR="00BF19D5" w:rsidRPr="008A28BD">
        <w:rPr>
          <w:lang w:val="es-ES"/>
        </w:rPr>
        <w:t>,</w:t>
      </w:r>
      <w:r w:rsidRPr="008A28BD">
        <w:rPr>
          <w:lang w:val="es-ES"/>
        </w:rPr>
        <w:t xml:space="preserve"> relativas a las resoluciones y las recomendaciones sobre cuestiones técnicas y procedimentales que se </w:t>
      </w:r>
      <w:r w:rsidR="00BF19D5" w:rsidRPr="008A28BD">
        <w:rPr>
          <w:lang w:val="es-ES"/>
        </w:rPr>
        <w:t>someten a la consideración de</w:t>
      </w:r>
      <w:r w:rsidRPr="008A28BD">
        <w:rPr>
          <w:lang w:val="es-ES"/>
        </w:rPr>
        <w:t>l Consejo Ejecutivo en la presente reunión;</w:t>
      </w:r>
    </w:p>
    <w:p w14:paraId="15CCEEAF" w14:textId="4CEBE3D2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 xml:space="preserve">3) </w:t>
      </w:r>
      <w:r w:rsidRPr="008A28BD">
        <w:rPr>
          <w:lang w:val="es-ES"/>
        </w:rPr>
        <w:tab/>
        <w:t>aprobar por consenso y sin debate</w:t>
      </w:r>
      <w:r w:rsidR="003D1C6B" w:rsidRPr="008A28BD">
        <w:rPr>
          <w:lang w:val="es-ES"/>
        </w:rPr>
        <w:t xml:space="preserve">, </w:t>
      </w:r>
      <w:r w:rsidR="00956C20" w:rsidRPr="008A28BD">
        <w:rPr>
          <w:lang w:val="es-ES"/>
        </w:rPr>
        <w:t xml:space="preserve">de conformidad con la </w:t>
      </w:r>
      <w:r w:rsidR="003D1C6B" w:rsidRPr="008A28BD">
        <w:rPr>
          <w:lang w:val="es-ES"/>
        </w:rPr>
        <w:t xml:space="preserve">recomendación del TCC, </w:t>
      </w:r>
      <w:r w:rsidRPr="008A28BD">
        <w:rPr>
          <w:lang w:val="es-ES"/>
        </w:rPr>
        <w:t xml:space="preserve">los documentos que contienen los proyectos de resolución y de recomendación </w:t>
      </w:r>
      <w:r w:rsidR="00BF19D5" w:rsidRPr="008A28BD">
        <w:rPr>
          <w:lang w:val="es-ES"/>
        </w:rPr>
        <w:t>que se indican a continuación</w:t>
      </w:r>
      <w:r w:rsidRPr="008A28BD">
        <w:rPr>
          <w:lang w:val="es-ES"/>
        </w:rPr>
        <w:t>:</w:t>
      </w:r>
    </w:p>
    <w:p w14:paraId="71ED5B68" w14:textId="77777777" w:rsidR="008A6FA3" w:rsidRPr="008A28BD" w:rsidRDefault="008A6FA3" w:rsidP="008A6FA3">
      <w:pPr>
        <w:tabs>
          <w:tab w:val="left" w:pos="720"/>
        </w:tabs>
        <w:spacing w:before="240" w:after="240"/>
        <w:jc w:val="left"/>
        <w:rPr>
          <w:rFonts w:eastAsia="Calibri"/>
          <w:szCs w:val="22"/>
          <w:lang w:val="es-ES"/>
        </w:rPr>
      </w:pPr>
      <w:r w:rsidRPr="008A28BD">
        <w:rPr>
          <w:u w:val="single"/>
          <w:lang w:val="es-ES"/>
        </w:rPr>
        <w:t>Meta a largo plazo 1</w:t>
      </w:r>
      <w:r w:rsidRPr="008A28BD">
        <w:rPr>
          <w:lang w:val="es-ES"/>
        </w:rPr>
        <w:t xml:space="preserve"> ─ Mejora de la atención de las necesidades de la sociedad: suministro de información y servicios autorizados, accesibles, orientados a los usuarios y aptos para cada fin específico:</w:t>
      </w:r>
    </w:p>
    <w:p w14:paraId="39D88896" w14:textId="03397148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1)</w:t>
      </w:r>
      <w:r w:rsidRPr="008A28BD">
        <w:rPr>
          <w:lang w:val="es-ES"/>
        </w:rPr>
        <w:tab/>
        <w:t xml:space="preserve">proyecto de Resolución 3.1(1)/1 — Marco de </w:t>
      </w:r>
      <w:r w:rsidR="00BF19D5" w:rsidRPr="008A28BD">
        <w:rPr>
          <w:lang w:val="es-ES"/>
        </w:rPr>
        <w:t>C</w:t>
      </w:r>
      <w:r w:rsidRPr="008A28BD">
        <w:rPr>
          <w:lang w:val="es-ES"/>
        </w:rPr>
        <w:t xml:space="preserve">ompetencias para la </w:t>
      </w:r>
      <w:r w:rsidR="00BF19D5" w:rsidRPr="008A28BD">
        <w:rPr>
          <w:lang w:val="es-ES"/>
        </w:rPr>
        <w:t>P</w:t>
      </w:r>
      <w:r w:rsidRPr="008A28BD">
        <w:rPr>
          <w:lang w:val="es-ES"/>
        </w:rPr>
        <w:t xml:space="preserve">redicción del </w:t>
      </w:r>
      <w:r w:rsidR="00BF19D5" w:rsidRPr="008A28BD">
        <w:rPr>
          <w:lang w:val="es-ES"/>
        </w:rPr>
        <w:t>E</w:t>
      </w:r>
      <w:r w:rsidRPr="008A28BD">
        <w:rPr>
          <w:lang w:val="es-ES"/>
        </w:rPr>
        <w:t xml:space="preserve">stado del </w:t>
      </w:r>
      <w:r w:rsidR="00BF19D5" w:rsidRPr="008A28BD">
        <w:rPr>
          <w:lang w:val="es-ES"/>
        </w:rPr>
        <w:t>H</w:t>
      </w:r>
      <w:r w:rsidRPr="008A28BD">
        <w:rPr>
          <w:lang w:val="es-ES"/>
        </w:rPr>
        <w:t>ielo;</w:t>
      </w:r>
    </w:p>
    <w:p w14:paraId="42FCBA3C" w14:textId="316166EB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2)</w:t>
      </w:r>
      <w:r w:rsidRPr="008A28BD">
        <w:rPr>
          <w:lang w:val="es-ES"/>
        </w:rPr>
        <w:tab/>
        <w:t xml:space="preserve">proyecto de Resolución 3.1(2)/1 — Marco de </w:t>
      </w:r>
      <w:r w:rsidR="00BF19D5" w:rsidRPr="008A28BD">
        <w:rPr>
          <w:lang w:val="es-ES"/>
        </w:rPr>
        <w:t>C</w:t>
      </w:r>
      <w:r w:rsidRPr="008A28BD">
        <w:rPr>
          <w:lang w:val="es-ES"/>
        </w:rPr>
        <w:t xml:space="preserve">ompetencias para la </w:t>
      </w:r>
      <w:r w:rsidR="00BF19D5" w:rsidRPr="008A28BD">
        <w:rPr>
          <w:lang w:val="es-ES"/>
        </w:rPr>
        <w:t>P</w:t>
      </w:r>
      <w:r w:rsidRPr="008A28BD">
        <w:rPr>
          <w:lang w:val="es-ES"/>
        </w:rPr>
        <w:t xml:space="preserve">redicción de </w:t>
      </w:r>
      <w:r w:rsidR="00BF19D5" w:rsidRPr="008A28BD">
        <w:rPr>
          <w:lang w:val="es-ES"/>
        </w:rPr>
        <w:t>C</w:t>
      </w:r>
      <w:r w:rsidRPr="008A28BD">
        <w:rPr>
          <w:lang w:val="es-ES"/>
        </w:rPr>
        <w:t xml:space="preserve">iclones </w:t>
      </w:r>
      <w:r w:rsidR="00BF19D5" w:rsidRPr="008A28BD">
        <w:rPr>
          <w:lang w:val="es-ES"/>
        </w:rPr>
        <w:t>T</w:t>
      </w:r>
      <w:r w:rsidRPr="008A28BD">
        <w:rPr>
          <w:lang w:val="es-ES"/>
        </w:rPr>
        <w:t>ropicales;</w:t>
      </w:r>
    </w:p>
    <w:p w14:paraId="74815E2B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3)</w:t>
      </w:r>
      <w:r w:rsidRPr="008A28BD">
        <w:rPr>
          <w:lang w:val="es-ES"/>
        </w:rPr>
        <w:tab/>
        <w:t xml:space="preserve">proyecto de Resolución 3.1(4)/1 — Enmiendas al </w:t>
      </w:r>
      <w:r w:rsidRPr="008A28BD">
        <w:rPr>
          <w:i/>
          <w:iCs/>
          <w:lang w:val="es-ES"/>
        </w:rPr>
        <w:t xml:space="preserve">Manual de servicios meteorológicos marinos </w:t>
      </w:r>
      <w:r w:rsidRPr="008A28BD">
        <w:rPr>
          <w:lang w:val="es-ES"/>
        </w:rPr>
        <w:t>(OMM-Nº 558);</w:t>
      </w:r>
    </w:p>
    <w:p w14:paraId="220697AD" w14:textId="093183DF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4)</w:t>
      </w:r>
      <w:r w:rsidRPr="008A28BD">
        <w:rPr>
          <w:lang w:val="es-ES"/>
        </w:rPr>
        <w:tab/>
        <w:t xml:space="preserve">proyecto de Resolución 3.1(5)/1 — </w:t>
      </w:r>
      <w:r w:rsidR="00BF19D5" w:rsidRPr="008A28BD">
        <w:rPr>
          <w:lang w:val="es-ES"/>
        </w:rPr>
        <w:t>Puesta al día</w:t>
      </w:r>
      <w:r w:rsidRPr="008A28BD">
        <w:rPr>
          <w:lang w:val="es-ES"/>
        </w:rPr>
        <w:t xml:space="preserve"> </w:t>
      </w:r>
      <w:r w:rsidR="00BF19D5" w:rsidRPr="008A28BD">
        <w:rPr>
          <w:lang w:val="es-ES"/>
        </w:rPr>
        <w:t>de</w:t>
      </w:r>
      <w:r w:rsidRPr="008A28BD">
        <w:rPr>
          <w:lang w:val="es-ES"/>
        </w:rPr>
        <w:t xml:space="preserve"> la </w:t>
      </w:r>
      <w:r w:rsidRPr="008A28BD">
        <w:rPr>
          <w:i/>
          <w:iCs/>
          <w:lang w:val="es-ES"/>
        </w:rPr>
        <w:t xml:space="preserve">Guía de servicios meteorológicos marinos </w:t>
      </w:r>
      <w:r w:rsidRPr="008A28BD">
        <w:rPr>
          <w:lang w:val="es-ES"/>
        </w:rPr>
        <w:t>(OMM-Nº 471);</w:t>
      </w:r>
    </w:p>
    <w:p w14:paraId="71F58BA8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5)</w:t>
      </w:r>
      <w:r w:rsidRPr="008A28BD">
        <w:rPr>
          <w:lang w:val="es-ES"/>
        </w:rPr>
        <w:tab/>
        <w:t xml:space="preserve">proyecto de Resolución 3.1(6)/1 — Puesta al día de la </w:t>
      </w:r>
      <w:r w:rsidRPr="008A28BD">
        <w:rPr>
          <w:i/>
          <w:iCs/>
          <w:lang w:val="es-ES"/>
        </w:rPr>
        <w:t xml:space="preserve">Guide to Agricultural Meteorological Practices </w:t>
      </w:r>
      <w:r w:rsidRPr="008A28BD">
        <w:rPr>
          <w:lang w:val="es-ES"/>
        </w:rPr>
        <w:t>(WMO-No. 134) (Guía de prácticas agrometeorológicas);</w:t>
      </w:r>
    </w:p>
    <w:p w14:paraId="73FB94A1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6)</w:t>
      </w:r>
      <w:r w:rsidRPr="008A28BD">
        <w:rPr>
          <w:lang w:val="es-ES"/>
        </w:rPr>
        <w:tab/>
        <w:t xml:space="preserve">proyecto de Resolución 3.1(7)/1 — </w:t>
      </w:r>
      <w:r w:rsidRPr="008A28BD">
        <w:rPr>
          <w:i/>
          <w:iCs/>
          <w:lang w:val="es-ES"/>
        </w:rPr>
        <w:t>Guía de prácticas para oficinas meteorológicas al servicio de la aviación</w:t>
      </w:r>
      <w:r w:rsidRPr="008A28BD">
        <w:rPr>
          <w:lang w:val="es-ES"/>
        </w:rPr>
        <w:t xml:space="preserve"> (OMM-Nº 732);</w:t>
      </w:r>
    </w:p>
    <w:p w14:paraId="1581D436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7)</w:t>
      </w:r>
      <w:r w:rsidRPr="008A28BD">
        <w:rPr>
          <w:lang w:val="es-ES"/>
        </w:rPr>
        <w:tab/>
        <w:t xml:space="preserve">proyecto de Resolución 3.1(7)/2 — </w:t>
      </w:r>
      <w:r w:rsidRPr="008A28BD">
        <w:rPr>
          <w:i/>
          <w:iCs/>
          <w:lang w:val="es-ES"/>
        </w:rPr>
        <w:t>Guía sobre la recuperación de los costos de los servicios meteorológicos aeronáuticos: Principios y directrices</w:t>
      </w:r>
      <w:r w:rsidRPr="008A28BD">
        <w:rPr>
          <w:lang w:val="es-ES"/>
        </w:rPr>
        <w:t xml:space="preserve"> (OMM-Nº 904);</w:t>
      </w:r>
    </w:p>
    <w:p w14:paraId="30B6C880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8)</w:t>
      </w:r>
      <w:r w:rsidRPr="008A28BD">
        <w:rPr>
          <w:lang w:val="es-ES"/>
        </w:rPr>
        <w:tab/>
        <w:t>proyecto de Resolución 3.1(8)/1 — Actualización de la lista de comprobación de la Organización Meteorológica Mundial para la prestación de servicios climáticos;</w:t>
      </w:r>
    </w:p>
    <w:p w14:paraId="6F36A8C5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9)</w:t>
      </w:r>
      <w:r w:rsidRPr="008A28BD">
        <w:rPr>
          <w:lang w:val="es-ES"/>
        </w:rPr>
        <w:tab/>
        <w:t xml:space="preserve">proyecto de Resolución 3.1(9)/1 — Cuarta edición de la </w:t>
      </w:r>
      <w:r w:rsidRPr="008A28BD">
        <w:rPr>
          <w:i/>
          <w:iCs/>
          <w:lang w:val="es-ES"/>
        </w:rPr>
        <w:t xml:space="preserve">Guía de prácticas climatológicas </w:t>
      </w:r>
      <w:r w:rsidRPr="008A28BD">
        <w:rPr>
          <w:lang w:val="es-ES"/>
        </w:rPr>
        <w:t>(OMM-Nº 100);</w:t>
      </w:r>
    </w:p>
    <w:p w14:paraId="1EF57857" w14:textId="5690D1E3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lastRenderedPageBreak/>
        <w:t>10)</w:t>
      </w:r>
      <w:r w:rsidRPr="008A28BD">
        <w:rPr>
          <w:lang w:val="es-ES"/>
        </w:rPr>
        <w:tab/>
        <w:t>proyecto de Resolución 3.1(10)/1 — Guía de la Organización Meteorológica Mundial sobre el apoyo de los Servicios Meteorológicos e Hidrológicos Nacionales a los procedimientos, mecanismos de coordinación, sistemas y servicios nacionales de alerta temprana de peligros múltiples;</w:t>
      </w:r>
    </w:p>
    <w:p w14:paraId="4A16754D" w14:textId="77777777" w:rsidR="008A6FA3" w:rsidRPr="008A28BD" w:rsidRDefault="008A6FA3" w:rsidP="008A6FA3">
      <w:pPr>
        <w:keepNext/>
        <w:keepLines/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11)</w:t>
      </w:r>
      <w:r w:rsidRPr="008A28BD">
        <w:rPr>
          <w:lang w:val="es-ES"/>
        </w:rPr>
        <w:tab/>
        <w:t>proyecto de Resolución 3.1(15)/1 — Plan de Ejecución para Contribuir al Progreso de la Ciencia y los Servicios Integrados en el Ámbito del Clima y la Salud (2023-2033);</w:t>
      </w:r>
    </w:p>
    <w:p w14:paraId="5A9EE0B0" w14:textId="0865CA3E" w:rsidR="008A6FA3" w:rsidRPr="008A28BD" w:rsidRDefault="008A6FA3" w:rsidP="008A6FA3">
      <w:pPr>
        <w:keepNext/>
        <w:keepLines/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12)</w:t>
      </w:r>
      <w:r w:rsidRPr="008A28BD">
        <w:rPr>
          <w:lang w:val="es-ES"/>
        </w:rPr>
        <w:tab/>
        <w:t>proyecto de Resolución 3.</w:t>
      </w:r>
      <w:r w:rsidR="00880E0D" w:rsidRPr="008A28BD">
        <w:rPr>
          <w:lang w:val="es-ES"/>
        </w:rPr>
        <w:t>1</w:t>
      </w:r>
      <w:r w:rsidRPr="008A28BD">
        <w:rPr>
          <w:lang w:val="es-ES"/>
        </w:rPr>
        <w:t>(16)/1 — Actividades de la Organización Meteorológica Mundial en el ámbito del calor extremo y la salud;</w:t>
      </w:r>
    </w:p>
    <w:p w14:paraId="1C1EB85A" w14:textId="77777777" w:rsidR="008A6FA3" w:rsidRPr="008A28BD" w:rsidRDefault="008A6FA3" w:rsidP="008A6FA3">
      <w:pPr>
        <w:tabs>
          <w:tab w:val="left" w:pos="720"/>
        </w:tabs>
        <w:spacing w:before="240" w:after="240"/>
        <w:jc w:val="left"/>
        <w:rPr>
          <w:rFonts w:eastAsia="Calibri"/>
          <w:szCs w:val="22"/>
          <w:lang w:val="es-ES"/>
        </w:rPr>
      </w:pPr>
      <w:r w:rsidRPr="008A28BD">
        <w:rPr>
          <w:u w:val="single"/>
          <w:lang w:val="es-ES"/>
        </w:rPr>
        <w:t>Meta a largo plazo 2</w:t>
      </w:r>
      <w:r w:rsidRPr="008A28BD">
        <w:rPr>
          <w:lang w:val="es-ES"/>
        </w:rPr>
        <w:t xml:space="preserve"> — Mejora de las observaciones y las predicciones del sistema Tierra: refuerzo de las bases técnicas para el futuro:</w:t>
      </w:r>
    </w:p>
    <w:p w14:paraId="61930433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1)</w:t>
      </w:r>
      <w:r w:rsidRPr="008A28BD">
        <w:rPr>
          <w:lang w:val="es-ES"/>
        </w:rPr>
        <w:tab/>
        <w:t xml:space="preserve">proyecto de Resolución 3.2(1)/1 — Enmiendas al </w:t>
      </w:r>
      <w:r w:rsidRPr="008A28BD">
        <w:rPr>
          <w:i/>
          <w:iCs/>
          <w:lang w:val="es-ES"/>
        </w:rPr>
        <w:t xml:space="preserve">Manual del Sistema Mundial Integrado de Sistemas de Observación de la OMM </w:t>
      </w:r>
      <w:r w:rsidRPr="008A28BD">
        <w:rPr>
          <w:lang w:val="es-ES"/>
        </w:rPr>
        <w:t>(OMM-Nº 1160);</w:t>
      </w:r>
    </w:p>
    <w:p w14:paraId="6014F882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2)</w:t>
      </w:r>
      <w:r w:rsidRPr="008A28BD">
        <w:rPr>
          <w:lang w:val="es-ES"/>
        </w:rPr>
        <w:tab/>
        <w:t xml:space="preserve">proyecto de Resolución 3.2(2)/1 — </w:t>
      </w:r>
      <w:r w:rsidRPr="008A28BD">
        <w:rPr>
          <w:i/>
          <w:iCs/>
          <w:lang w:val="es-ES"/>
        </w:rPr>
        <w:t>Guía del Sistema Mundial Integrado de Sistemas de Observación de la OMM</w:t>
      </w:r>
      <w:r w:rsidRPr="008A28BD">
        <w:rPr>
          <w:lang w:val="es-ES"/>
        </w:rPr>
        <w:t xml:space="preserve"> (OMM-Nº 1165);</w:t>
      </w:r>
    </w:p>
    <w:p w14:paraId="1F8E8738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3)</w:t>
      </w:r>
      <w:r w:rsidRPr="008A28BD">
        <w:rPr>
          <w:lang w:val="es-ES"/>
        </w:rPr>
        <w:tab/>
        <w:t xml:space="preserve">proyecto de Resolución 3.2(4)/1 — Puesta al día de la </w:t>
      </w:r>
      <w:r w:rsidRPr="008A28BD">
        <w:rPr>
          <w:i/>
          <w:iCs/>
          <w:lang w:val="es-ES"/>
        </w:rPr>
        <w:t xml:space="preserve">Guía de observaciones desde aeronaves </w:t>
      </w:r>
      <w:r w:rsidRPr="008A28BD">
        <w:rPr>
          <w:lang w:val="es-ES"/>
        </w:rPr>
        <w:t>(OMM-Nº 1200);</w:t>
      </w:r>
    </w:p>
    <w:p w14:paraId="39E629B7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4)</w:t>
      </w:r>
      <w:r w:rsidRPr="008A28BD">
        <w:rPr>
          <w:lang w:val="es-ES"/>
        </w:rPr>
        <w:tab/>
        <w:t xml:space="preserve">proyecto de Resolución 3.2(5)/1 — Publicación y traducción de la </w:t>
      </w:r>
      <w:r w:rsidRPr="008A28BD">
        <w:rPr>
          <w:i/>
          <w:iCs/>
          <w:lang w:val="es-ES"/>
        </w:rPr>
        <w:t xml:space="preserve">Guía de instrumentos y métodos de observación </w:t>
      </w:r>
      <w:r w:rsidRPr="008A28BD">
        <w:rPr>
          <w:lang w:val="es-ES"/>
        </w:rPr>
        <w:t>(OMM-Nº 8);</w:t>
      </w:r>
    </w:p>
    <w:p w14:paraId="4DDB1810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5)</w:t>
      </w:r>
      <w:r w:rsidRPr="008A28BD">
        <w:rPr>
          <w:lang w:val="es-ES"/>
        </w:rPr>
        <w:tab/>
        <w:t xml:space="preserve">proyecto de Resolución 3.2(6)/1 — Puesta al día de la </w:t>
      </w:r>
      <w:r w:rsidRPr="008A28BD">
        <w:rPr>
          <w:i/>
          <w:iCs/>
          <w:lang w:val="es-ES"/>
        </w:rPr>
        <w:t>Guía del Sistema de Información de la OMM</w:t>
      </w:r>
      <w:r w:rsidRPr="008A28BD">
        <w:rPr>
          <w:lang w:val="es-ES"/>
        </w:rPr>
        <w:t>;</w:t>
      </w:r>
    </w:p>
    <w:p w14:paraId="6936FBB2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6)</w:t>
      </w:r>
      <w:r w:rsidRPr="008A28BD">
        <w:rPr>
          <w:lang w:val="es-ES"/>
        </w:rPr>
        <w:tab/>
        <w:t xml:space="preserve">proyecto de Resolución 3.2(7)/1 — Puesta al día del </w:t>
      </w:r>
      <w:r w:rsidRPr="008A28BD">
        <w:rPr>
          <w:i/>
          <w:iCs/>
          <w:lang w:val="es-ES"/>
        </w:rPr>
        <w:t>Manual de claves</w:t>
      </w:r>
      <w:r w:rsidRPr="008A28BD">
        <w:rPr>
          <w:lang w:val="es-ES"/>
        </w:rPr>
        <w:t>;</w:t>
      </w:r>
    </w:p>
    <w:p w14:paraId="7D62CC5A" w14:textId="2C427196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7)</w:t>
      </w:r>
      <w:r w:rsidRPr="008A28BD">
        <w:rPr>
          <w:lang w:val="es-ES"/>
        </w:rPr>
        <w:tab/>
        <w:t xml:space="preserve">proyecto de Resolución 3.2(8)/1 — Establecimiento de un Centro de Adquisición de Datos para datos climáticos de meteorología marina y oceanografía en el marco del Sistema de Datos sobre el Clima Marino y actualizaciones pertinentes de la </w:t>
      </w:r>
      <w:r w:rsidRPr="008A28BD">
        <w:rPr>
          <w:i/>
          <w:iCs/>
          <w:lang w:val="es-ES"/>
        </w:rPr>
        <w:t xml:space="preserve">Guía de servicios meteorológicos marinos </w:t>
      </w:r>
      <w:r w:rsidRPr="008A28BD">
        <w:rPr>
          <w:lang w:val="es-ES"/>
        </w:rPr>
        <w:t>(OMM-Nº 471), apéndice 1</w:t>
      </w:r>
      <w:r w:rsidR="00880E0D" w:rsidRPr="008A28BD">
        <w:rPr>
          <w:lang w:val="es-ES"/>
        </w:rPr>
        <w:t>;</w:t>
      </w:r>
    </w:p>
    <w:p w14:paraId="5246A017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8)</w:t>
      </w:r>
      <w:r w:rsidRPr="008A28BD">
        <w:rPr>
          <w:lang w:val="es-ES"/>
        </w:rPr>
        <w:tab/>
        <w:t>proyecto de Resolución 3.2(9)/1 — Designación de Centros Mundiales de Producción de Predicciones a Largo Plazo, Centros Mundiales de Producción de Predicciones Subestacionales y del Centro Principal para la Coordinación de los Conjuntos Multimodelos para las Predicciones Subestacionales;</w:t>
      </w:r>
    </w:p>
    <w:p w14:paraId="7A7874E2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 xml:space="preserve">9) </w:t>
      </w:r>
      <w:r w:rsidRPr="008A28BD">
        <w:rPr>
          <w:lang w:val="es-ES"/>
        </w:rPr>
        <w:tab/>
        <w:t>proyecto de Resolución 3.2(10)/1 — Cese en la publicación del informe anual de la Organización Meteorológica Mundial sobre los progresos técnicos del Sistema Mundial de Proceso de Datos y de Predicción y las actividades de investigación en materia de predicción numérica del tiempo;</w:t>
      </w:r>
    </w:p>
    <w:p w14:paraId="7A28FCD5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10)</w:t>
      </w:r>
      <w:r w:rsidRPr="008A28BD">
        <w:rPr>
          <w:lang w:val="es-ES"/>
        </w:rPr>
        <w:tab/>
        <w:t>proyecto de Resolución 3.2(11)/1 — Establecimiento del proceso de examen de la conformidad de los Centros Meteorológicos Regionales Especializados;</w:t>
      </w:r>
    </w:p>
    <w:p w14:paraId="1178659A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11)</w:t>
      </w:r>
      <w:r w:rsidRPr="008A28BD">
        <w:rPr>
          <w:lang w:val="es-ES"/>
        </w:rPr>
        <w:tab/>
        <w:t xml:space="preserve">proyecto de Resolución 3.2(12)/1 — Elaboración de una nueva versión de la </w:t>
      </w:r>
      <w:r w:rsidRPr="008A28BD">
        <w:rPr>
          <w:i/>
          <w:iCs/>
          <w:lang w:val="es-ES"/>
        </w:rPr>
        <w:t xml:space="preserve">Guía del Sistema Mundial de Proceso de Datos </w:t>
      </w:r>
      <w:r w:rsidRPr="008A28BD">
        <w:rPr>
          <w:lang w:val="es-ES"/>
        </w:rPr>
        <w:t>(OMM-Nº 305);</w:t>
      </w:r>
    </w:p>
    <w:p w14:paraId="52DE7FEA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 xml:space="preserve">12) </w:t>
      </w:r>
      <w:r w:rsidRPr="008A28BD">
        <w:rPr>
          <w:lang w:val="es-ES"/>
        </w:rPr>
        <w:tab/>
        <w:t xml:space="preserve">proyecto de Resolución 3.2(13)/1 — Enmiendas al </w:t>
      </w:r>
      <w:r w:rsidRPr="008A28BD">
        <w:rPr>
          <w:i/>
          <w:iCs/>
          <w:lang w:val="es-ES"/>
        </w:rPr>
        <w:t xml:space="preserve">Manual del Sistema Mundial de Proceso de Datos y de Predicción </w:t>
      </w:r>
      <w:r w:rsidRPr="008A28BD">
        <w:rPr>
          <w:lang w:val="es-ES"/>
        </w:rPr>
        <w:t>(OMM-Nº 485) propuestas por la Comisión de Aplicaciones y Servicios Meteorológicos, Climáticos, Hidrológicos y Medioambientales Conexos;</w:t>
      </w:r>
    </w:p>
    <w:p w14:paraId="3CDE0BF9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lastRenderedPageBreak/>
        <w:t>13)</w:t>
      </w:r>
      <w:r w:rsidRPr="008A28BD">
        <w:rPr>
          <w:lang w:val="es-ES"/>
        </w:rPr>
        <w:tab/>
        <w:t xml:space="preserve">proyecto de Resolución 3.2(14)/1 — Publicación y traducción de la </w:t>
      </w:r>
      <w:r w:rsidRPr="008A28BD">
        <w:rPr>
          <w:i/>
          <w:iCs/>
          <w:lang w:val="es-ES"/>
        </w:rPr>
        <w:t xml:space="preserve">Guía de mejores prácticas sobre radares meteorológicos operativos </w:t>
      </w:r>
      <w:r w:rsidRPr="008A28BD">
        <w:rPr>
          <w:lang w:val="es-ES"/>
        </w:rPr>
        <w:t>(OMM-Nº ##);</w:t>
      </w:r>
    </w:p>
    <w:p w14:paraId="2D7E32BD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14)</w:t>
      </w:r>
      <w:r w:rsidRPr="008A28BD">
        <w:rPr>
          <w:lang w:val="es-ES"/>
        </w:rPr>
        <w:tab/>
        <w:t>proyecto de Resolución 3.2(15)/1 — Hacia un cambio de las referencias radiométricas;</w:t>
      </w:r>
    </w:p>
    <w:p w14:paraId="5D6D49FC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15)</w:t>
      </w:r>
      <w:r w:rsidRPr="008A28BD">
        <w:rPr>
          <w:lang w:val="es-ES"/>
        </w:rPr>
        <w:tab/>
        <w:t>proyecto de Resolución 3.2(17)/1 — Estrategia del Laboratorio Virtual para la Enseñanza y Formación en Meteorología Satelital para 2020–2024;</w:t>
      </w:r>
    </w:p>
    <w:p w14:paraId="44BC33C5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16)</w:t>
      </w:r>
      <w:r w:rsidRPr="008A28BD">
        <w:rPr>
          <w:lang w:val="es-ES"/>
        </w:rPr>
        <w:tab/>
        <w:t>proyecto de Recomendación 3.2(18)/1 — Mejora de las observaciones climáticas;</w:t>
      </w:r>
    </w:p>
    <w:p w14:paraId="031AE3A3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17)</w:t>
      </w:r>
      <w:r w:rsidRPr="008A28BD">
        <w:rPr>
          <w:lang w:val="es-ES"/>
        </w:rPr>
        <w:tab/>
        <w:t>proyecto de Resolución 3.2(19)/1 — Versión actualizada del Plan de Ejecución de la versión 2.0 del Sistema de Información de la OMM;</w:t>
      </w:r>
    </w:p>
    <w:p w14:paraId="399B9A3D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18)</w:t>
      </w:r>
      <w:r w:rsidRPr="008A28BD">
        <w:rPr>
          <w:lang w:val="es-ES"/>
        </w:rPr>
        <w:tab/>
        <w:t>Proyecto de Resolución 3.2(20)/1 — Ejecución operativa del Sistema de Observación Hidrológica de la OMM;</w:t>
      </w:r>
    </w:p>
    <w:p w14:paraId="2178EE94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19)</w:t>
      </w:r>
      <w:r w:rsidRPr="008A28BD">
        <w:rPr>
          <w:lang w:val="es-ES"/>
        </w:rPr>
        <w:tab/>
        <w:t>proyecto de Resolución 3.2(21)/1 — Centros Regionales de Instrumentos Marinos: actualización de su mandato, gobernanza y proceso de evaluación;</w:t>
      </w:r>
    </w:p>
    <w:p w14:paraId="37657B22" w14:textId="67BCDD28" w:rsidR="008A6FA3" w:rsidRPr="008A28BD" w:rsidRDefault="008A6FA3" w:rsidP="008A6FA3">
      <w:pPr>
        <w:tabs>
          <w:tab w:val="left" w:pos="720"/>
        </w:tabs>
        <w:spacing w:before="240" w:after="240"/>
        <w:ind w:left="567" w:right="-170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20)</w:t>
      </w:r>
      <w:r w:rsidRPr="008A28BD">
        <w:rPr>
          <w:lang w:val="es-ES"/>
        </w:rPr>
        <w:tab/>
        <w:t>proyecto de Resolución 3.2(22)/1 — Centros Regionales de Instrumentos;</w:t>
      </w:r>
      <w:r w:rsidR="00772802">
        <w:rPr>
          <w:lang w:val="es-ES"/>
        </w:rPr>
        <w:t xml:space="preserve"> </w:t>
      </w:r>
    </w:p>
    <w:p w14:paraId="4B31993F" w14:textId="77777777" w:rsidR="008A6FA3" w:rsidRPr="008A28BD" w:rsidRDefault="008A6FA3" w:rsidP="008A6FA3">
      <w:pPr>
        <w:tabs>
          <w:tab w:val="left" w:pos="720"/>
        </w:tabs>
        <w:spacing w:before="240" w:after="240"/>
        <w:jc w:val="left"/>
        <w:rPr>
          <w:rFonts w:eastAsia="Calibri"/>
          <w:szCs w:val="22"/>
          <w:lang w:val="es-ES"/>
        </w:rPr>
      </w:pPr>
      <w:r w:rsidRPr="008A28BD">
        <w:rPr>
          <w:u w:val="single"/>
          <w:lang w:val="es-ES"/>
        </w:rPr>
        <w:t>Meta a largo plazo 4</w:t>
      </w:r>
      <w:r w:rsidRPr="008A28BD">
        <w:rPr>
          <w:lang w:val="es-ES"/>
        </w:rPr>
        <w:t xml:space="preserve"> — Eliminación de las deficiencias de capacidad en los servicios meteorológicos, climáticos, hidrológicos y medioambientales conexos: mejora de la capacidad de prestación de servicios de los países en desarrollo con miras a garantizar la disponibilidad de la información y los servicios esenciales que requieren los gobiernos, los sectores económicos y los ciudadanos:</w:t>
      </w:r>
    </w:p>
    <w:p w14:paraId="48D0F42E" w14:textId="77777777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1)</w:t>
      </w:r>
      <w:r w:rsidRPr="008A28BD">
        <w:rPr>
          <w:lang w:val="es-ES"/>
        </w:rPr>
        <w:tab/>
        <w:t>proyecto de Resolución 3.4(2)/1 — Colaboración con las asociaciones regionales;</w:t>
      </w:r>
    </w:p>
    <w:p w14:paraId="133470F0" w14:textId="0BE972EA" w:rsidR="008A6FA3" w:rsidRPr="008A28BD" w:rsidRDefault="008A6FA3" w:rsidP="008A6FA3">
      <w:pPr>
        <w:tabs>
          <w:tab w:val="left" w:pos="720"/>
        </w:tabs>
        <w:spacing w:before="240" w:after="240"/>
        <w:jc w:val="left"/>
        <w:rPr>
          <w:rFonts w:eastAsia="Calibri"/>
          <w:szCs w:val="22"/>
          <w:lang w:val="es-ES"/>
        </w:rPr>
      </w:pPr>
      <w:r w:rsidRPr="008A28BD">
        <w:rPr>
          <w:u w:val="single"/>
          <w:lang w:val="es-ES"/>
        </w:rPr>
        <w:t>Meta a largo plazo 5</w:t>
      </w:r>
      <w:r w:rsidRPr="008A28BD">
        <w:rPr>
          <w:lang w:val="es-ES"/>
        </w:rPr>
        <w:t xml:space="preserve"> — Reorientación estratégica de la estructura y los programas de la O</w:t>
      </w:r>
      <w:r w:rsidR="00880E0D" w:rsidRPr="008A28BD">
        <w:rPr>
          <w:lang w:val="es-ES"/>
        </w:rPr>
        <w:t xml:space="preserve">rganización </w:t>
      </w:r>
      <w:r w:rsidRPr="008A28BD">
        <w:rPr>
          <w:lang w:val="es-ES"/>
        </w:rPr>
        <w:t>M</w:t>
      </w:r>
      <w:r w:rsidR="00880E0D" w:rsidRPr="008A28BD">
        <w:rPr>
          <w:lang w:val="es-ES"/>
        </w:rPr>
        <w:t xml:space="preserve">eteorológica </w:t>
      </w:r>
      <w:r w:rsidRPr="008A28BD">
        <w:rPr>
          <w:lang w:val="es-ES"/>
        </w:rPr>
        <w:t>M</w:t>
      </w:r>
      <w:r w:rsidR="00880E0D" w:rsidRPr="008A28BD">
        <w:rPr>
          <w:lang w:val="es-ES"/>
        </w:rPr>
        <w:t>undial</w:t>
      </w:r>
      <w:r w:rsidRPr="008A28BD">
        <w:rPr>
          <w:lang w:val="es-ES"/>
        </w:rPr>
        <w:t xml:space="preserve"> en aras de unos procesos eficaces de formulación de políticas y adopción de decisiones y su correspondiente aplicación:</w:t>
      </w:r>
    </w:p>
    <w:p w14:paraId="5DDD7410" w14:textId="2A5476B0" w:rsidR="008A6FA3" w:rsidRPr="008A28BD" w:rsidRDefault="008A6FA3" w:rsidP="008A6FA3">
      <w:pPr>
        <w:tabs>
          <w:tab w:val="left" w:pos="720"/>
        </w:tabs>
        <w:spacing w:before="240" w:after="240"/>
        <w:ind w:left="567" w:hanging="567"/>
        <w:jc w:val="left"/>
        <w:rPr>
          <w:rFonts w:eastAsia="Calibri"/>
          <w:szCs w:val="22"/>
          <w:lang w:val="es-ES"/>
        </w:rPr>
      </w:pPr>
      <w:r w:rsidRPr="008A28BD">
        <w:rPr>
          <w:lang w:val="es-ES"/>
        </w:rPr>
        <w:t>1)</w:t>
      </w:r>
      <w:r w:rsidRPr="008A28BD">
        <w:rPr>
          <w:lang w:val="es-ES"/>
        </w:rPr>
        <w:tab/>
      </w:r>
      <w:r w:rsidR="00880E0D" w:rsidRPr="008A28BD">
        <w:rPr>
          <w:lang w:val="es-ES"/>
        </w:rPr>
        <w:t>p</w:t>
      </w:r>
      <w:r w:rsidRPr="008A28BD">
        <w:rPr>
          <w:lang w:val="es-ES"/>
        </w:rPr>
        <w:t xml:space="preserve">royecto de Recomendación 9(2)/1 — </w:t>
      </w:r>
      <w:r w:rsidR="005E734C" w:rsidRPr="008A28BD">
        <w:rPr>
          <w:lang w:val="es-ES"/>
        </w:rPr>
        <w:t>Derogación de las resoluciones y las recomendaciones dimanantes de las estructuras de las anteriores comisiones técnicas</w:t>
      </w:r>
      <w:r w:rsidRPr="008A28BD">
        <w:rPr>
          <w:lang w:val="es-ES"/>
        </w:rPr>
        <w:t>.</w:t>
      </w:r>
    </w:p>
    <w:p w14:paraId="45ACC810" w14:textId="77777777" w:rsidR="00581CFE" w:rsidRPr="008A28BD" w:rsidRDefault="00581CFE" w:rsidP="00581CFE">
      <w:pPr>
        <w:pStyle w:val="WMOBodyText"/>
        <w:rPr>
          <w:lang w:val="es-ES"/>
        </w:rPr>
      </w:pPr>
      <w:r w:rsidRPr="008A28BD">
        <w:rPr>
          <w:lang w:val="es-ES"/>
        </w:rPr>
        <w:t>_______</w:t>
      </w:r>
    </w:p>
    <w:p w14:paraId="1083E52F" w14:textId="77777777" w:rsidR="00581CFE" w:rsidRPr="008A28BD" w:rsidRDefault="00581CFE" w:rsidP="00581CFE">
      <w:pPr>
        <w:pStyle w:val="WMOBodyText"/>
        <w:tabs>
          <w:tab w:val="left" w:pos="2977"/>
        </w:tabs>
        <w:spacing w:before="120"/>
        <w:rPr>
          <w:lang w:val="es-ES"/>
        </w:rPr>
      </w:pPr>
      <w:r w:rsidRPr="008A28BD">
        <w:rPr>
          <w:lang w:val="es-ES"/>
        </w:rPr>
        <w:t>Justificación de la decisión:</w:t>
      </w:r>
    </w:p>
    <w:p w14:paraId="2EFBE79C" w14:textId="5C5654A9" w:rsidR="00581CFE" w:rsidRPr="008A28BD" w:rsidRDefault="008A6FA3" w:rsidP="00581CFE">
      <w:pPr>
        <w:pStyle w:val="WMOBodyText"/>
        <w:tabs>
          <w:tab w:val="left" w:pos="2977"/>
        </w:tabs>
        <w:rPr>
          <w:lang w:val="es-ES"/>
        </w:rPr>
      </w:pPr>
      <w:r w:rsidRPr="008A28BD">
        <w:rPr>
          <w:lang w:val="es-ES"/>
        </w:rPr>
        <w:t xml:space="preserve">Párrafo 2.8 del </w:t>
      </w:r>
      <w:hyperlink r:id="rId14" w:anchor=".Y9uTHXbMKUk" w:history="1">
        <w:r w:rsidR="005E734C" w:rsidRPr="008A28BD">
          <w:rPr>
            <w:rStyle w:val="Hyperlink"/>
            <w:i/>
            <w:iCs/>
            <w:lang w:val="es-ES"/>
          </w:rPr>
          <w:t>Reglamento del Consejo Ejecutivo</w:t>
        </w:r>
      </w:hyperlink>
      <w:r w:rsidR="005E734C" w:rsidRPr="008A28BD">
        <w:rPr>
          <w:lang w:val="es-ES"/>
        </w:rPr>
        <w:t xml:space="preserve"> </w:t>
      </w:r>
      <w:r w:rsidRPr="008A28BD">
        <w:rPr>
          <w:lang w:val="es-ES"/>
        </w:rPr>
        <w:t>(OMM-Nº 1256)</w:t>
      </w:r>
      <w:r w:rsidR="00581CFE" w:rsidRPr="008A28BD">
        <w:rPr>
          <w:lang w:val="es-ES"/>
        </w:rPr>
        <w:t>.</w:t>
      </w:r>
    </w:p>
    <w:p w14:paraId="22373C07" w14:textId="77777777" w:rsidR="00581CFE" w:rsidRPr="008A28BD" w:rsidRDefault="00581CFE" w:rsidP="00581CFE">
      <w:pPr>
        <w:spacing w:before="480"/>
        <w:jc w:val="center"/>
        <w:rPr>
          <w:lang w:val="es-ES"/>
        </w:rPr>
      </w:pPr>
      <w:bookmarkStart w:id="1" w:name="_Annex_to_Draft_4"/>
      <w:bookmarkStart w:id="2" w:name="AnexoDecisión"/>
      <w:bookmarkEnd w:id="1"/>
      <w:bookmarkEnd w:id="2"/>
      <w:r w:rsidRPr="008A28BD">
        <w:rPr>
          <w:lang w:val="es-ES"/>
        </w:rPr>
        <w:t>___________</w:t>
      </w:r>
    </w:p>
    <w:p w14:paraId="3C0692C3" w14:textId="77777777" w:rsidR="00864DBF" w:rsidRPr="008A28BD" w:rsidRDefault="00864DBF" w:rsidP="00581CFE">
      <w:pPr>
        <w:pStyle w:val="Heading1"/>
        <w:rPr>
          <w:lang w:val="es-ES"/>
        </w:rPr>
      </w:pPr>
    </w:p>
    <w:sectPr w:rsidR="00864DBF" w:rsidRPr="008A28BD" w:rsidSect="0020095E">
      <w:headerReference w:type="default" r:id="rId15"/>
      <w:head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5583" w14:textId="77777777" w:rsidR="003E57E5" w:rsidRDefault="003E57E5">
      <w:r>
        <w:separator/>
      </w:r>
    </w:p>
    <w:p w14:paraId="19DE7143" w14:textId="77777777" w:rsidR="003E57E5" w:rsidRDefault="003E57E5"/>
    <w:p w14:paraId="05ABD5C2" w14:textId="77777777" w:rsidR="003E57E5" w:rsidRDefault="003E57E5"/>
  </w:endnote>
  <w:endnote w:type="continuationSeparator" w:id="0">
    <w:p w14:paraId="698A7C02" w14:textId="77777777" w:rsidR="003E57E5" w:rsidRDefault="003E57E5">
      <w:r>
        <w:continuationSeparator/>
      </w:r>
    </w:p>
    <w:p w14:paraId="00C4374A" w14:textId="77777777" w:rsidR="003E57E5" w:rsidRDefault="003E57E5"/>
    <w:p w14:paraId="0289CE34" w14:textId="77777777" w:rsidR="003E57E5" w:rsidRDefault="003E5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0D20" w14:textId="77777777" w:rsidR="003E57E5" w:rsidRDefault="003E57E5">
      <w:r>
        <w:separator/>
      </w:r>
    </w:p>
  </w:footnote>
  <w:footnote w:type="continuationSeparator" w:id="0">
    <w:p w14:paraId="020E6B7C" w14:textId="77777777" w:rsidR="003E57E5" w:rsidRDefault="003E57E5">
      <w:r>
        <w:continuationSeparator/>
      </w:r>
    </w:p>
    <w:p w14:paraId="7E3E202D" w14:textId="77777777" w:rsidR="003E57E5" w:rsidRDefault="003E57E5"/>
    <w:p w14:paraId="30655E07" w14:textId="77777777" w:rsidR="003E57E5" w:rsidRDefault="003E5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2F2A" w14:textId="500F6C0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8A6FA3">
      <w:t>3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B505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326345">
    <w:abstractNumId w:val="29"/>
  </w:num>
  <w:num w:numId="2" w16cid:durableId="1605069050">
    <w:abstractNumId w:val="44"/>
  </w:num>
  <w:num w:numId="3" w16cid:durableId="1237013441">
    <w:abstractNumId w:val="27"/>
  </w:num>
  <w:num w:numId="4" w16cid:durableId="1973752571">
    <w:abstractNumId w:val="36"/>
  </w:num>
  <w:num w:numId="5" w16cid:durableId="422922966">
    <w:abstractNumId w:val="17"/>
  </w:num>
  <w:num w:numId="6" w16cid:durableId="1487669765">
    <w:abstractNumId w:val="22"/>
  </w:num>
  <w:num w:numId="7" w16cid:durableId="935096686">
    <w:abstractNumId w:val="18"/>
  </w:num>
  <w:num w:numId="8" w16cid:durableId="31392765">
    <w:abstractNumId w:val="30"/>
  </w:num>
  <w:num w:numId="9" w16cid:durableId="2030371794">
    <w:abstractNumId w:val="21"/>
  </w:num>
  <w:num w:numId="10" w16cid:durableId="1068302679">
    <w:abstractNumId w:val="20"/>
  </w:num>
  <w:num w:numId="11" w16cid:durableId="492919609">
    <w:abstractNumId w:val="35"/>
  </w:num>
  <w:num w:numId="12" w16cid:durableId="1540700987">
    <w:abstractNumId w:val="11"/>
  </w:num>
  <w:num w:numId="13" w16cid:durableId="1848127781">
    <w:abstractNumId w:val="25"/>
  </w:num>
  <w:num w:numId="14" w16cid:durableId="153181122">
    <w:abstractNumId w:val="40"/>
  </w:num>
  <w:num w:numId="15" w16cid:durableId="608783612">
    <w:abstractNumId w:val="19"/>
  </w:num>
  <w:num w:numId="16" w16cid:durableId="168720595">
    <w:abstractNumId w:val="9"/>
  </w:num>
  <w:num w:numId="17" w16cid:durableId="2023237725">
    <w:abstractNumId w:val="7"/>
  </w:num>
  <w:num w:numId="18" w16cid:durableId="1921479287">
    <w:abstractNumId w:val="6"/>
  </w:num>
  <w:num w:numId="19" w16cid:durableId="920874852">
    <w:abstractNumId w:val="5"/>
  </w:num>
  <w:num w:numId="20" w16cid:durableId="1327436028">
    <w:abstractNumId w:val="4"/>
  </w:num>
  <w:num w:numId="21" w16cid:durableId="250697917">
    <w:abstractNumId w:val="8"/>
  </w:num>
  <w:num w:numId="22" w16cid:durableId="1628662870">
    <w:abstractNumId w:val="3"/>
  </w:num>
  <w:num w:numId="23" w16cid:durableId="1753888154">
    <w:abstractNumId w:val="2"/>
  </w:num>
  <w:num w:numId="24" w16cid:durableId="1484813311">
    <w:abstractNumId w:val="1"/>
  </w:num>
  <w:num w:numId="25" w16cid:durableId="2060668922">
    <w:abstractNumId w:val="0"/>
  </w:num>
  <w:num w:numId="26" w16cid:durableId="675114859">
    <w:abstractNumId w:val="42"/>
  </w:num>
  <w:num w:numId="27" w16cid:durableId="1981105727">
    <w:abstractNumId w:val="31"/>
  </w:num>
  <w:num w:numId="28" w16cid:durableId="1628390465">
    <w:abstractNumId w:val="23"/>
  </w:num>
  <w:num w:numId="29" w16cid:durableId="1081678509">
    <w:abstractNumId w:val="32"/>
  </w:num>
  <w:num w:numId="30" w16cid:durableId="305430506">
    <w:abstractNumId w:val="33"/>
  </w:num>
  <w:num w:numId="31" w16cid:durableId="196084218">
    <w:abstractNumId w:val="14"/>
  </w:num>
  <w:num w:numId="32" w16cid:durableId="97339085">
    <w:abstractNumId w:val="39"/>
  </w:num>
  <w:num w:numId="33" w16cid:durableId="323706307">
    <w:abstractNumId w:val="37"/>
  </w:num>
  <w:num w:numId="34" w16cid:durableId="340744631">
    <w:abstractNumId w:val="24"/>
  </w:num>
  <w:num w:numId="35" w16cid:durableId="1013066831">
    <w:abstractNumId w:val="26"/>
  </w:num>
  <w:num w:numId="36" w16cid:durableId="658382854">
    <w:abstractNumId w:val="43"/>
  </w:num>
  <w:num w:numId="37" w16cid:durableId="373434635">
    <w:abstractNumId w:val="34"/>
  </w:num>
  <w:num w:numId="38" w16cid:durableId="1315718683">
    <w:abstractNumId w:val="12"/>
  </w:num>
  <w:num w:numId="39" w16cid:durableId="1187450693">
    <w:abstractNumId w:val="13"/>
  </w:num>
  <w:num w:numId="40" w16cid:durableId="2042587669">
    <w:abstractNumId w:val="15"/>
  </w:num>
  <w:num w:numId="41" w16cid:durableId="99840928">
    <w:abstractNumId w:val="10"/>
  </w:num>
  <w:num w:numId="42" w16cid:durableId="1127356469">
    <w:abstractNumId w:val="41"/>
  </w:num>
  <w:num w:numId="43" w16cid:durableId="1319308570">
    <w:abstractNumId w:val="16"/>
  </w:num>
  <w:num w:numId="44" w16cid:durableId="280117261">
    <w:abstractNumId w:val="28"/>
  </w:num>
  <w:num w:numId="45" w16cid:durableId="15420160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A3"/>
    <w:rsid w:val="00001E4F"/>
    <w:rsid w:val="000206A8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97679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24971"/>
    <w:rsid w:val="0013201E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1C6B"/>
    <w:rsid w:val="003D5A17"/>
    <w:rsid w:val="003E4046"/>
    <w:rsid w:val="003E57E5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0DE0"/>
    <w:rsid w:val="005B1F2C"/>
    <w:rsid w:val="005B5F3C"/>
    <w:rsid w:val="005D03D9"/>
    <w:rsid w:val="005D1EE8"/>
    <w:rsid w:val="005D56AE"/>
    <w:rsid w:val="005D666D"/>
    <w:rsid w:val="005E3A59"/>
    <w:rsid w:val="005E734C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238A"/>
    <w:rsid w:val="006E67B0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2802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80E0D"/>
    <w:rsid w:val="0089601F"/>
    <w:rsid w:val="008A28BD"/>
    <w:rsid w:val="008A6FA3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56C2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A65FA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BF19D5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27A26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5349D"/>
  <w15:docId w15:val="{4673A8DB-5D17-4BD9-9A42-4336140C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EC-76/InformationDocuments/Forms/AllItem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?lvl=notice_display&amp;id=2182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?lvl=notice_display&amp;id=218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ovilar\OneDrive%20-%20WMO\Documents\Edu\Carpeta%20de%20trabajo%20OMM\Plantilla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microsoft.com/office/2006/metadata/properties"/>
    <ds:schemaRef ds:uri="http://schemas.microsoft.com/office/infopath/2007/PartnerControls"/>
    <ds:schemaRef ds:uri="3679bf0f-1d7e-438f-afa5-6ebf1e20f9b8"/>
    <ds:schemaRef ds:uri="ce21bc6c-711a-4065-a01c-a8f0e29e3ad8"/>
  </ds:schemaRefs>
</ds:datastoreItem>
</file>

<file path=customXml/itemProps3.xml><?xml version="1.0" encoding="utf-8"?>
<ds:datastoreItem xmlns:ds="http://schemas.openxmlformats.org/officeDocument/2006/customXml" ds:itemID="{62F327A5-CE8F-427A-9EA2-0D57115D2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2BA55-8AE4-4E34-A32E-84E69EEEFCBC}"/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</Template>
  <TotalTime>88</TotalTime>
  <Pages>4</Pages>
  <Words>1374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8914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Fabian Rubiolo</cp:lastModifiedBy>
  <cp:revision>11</cp:revision>
  <cp:lastPrinted>2013-03-12T09:27:00Z</cp:lastPrinted>
  <dcterms:created xsi:type="dcterms:W3CDTF">2023-02-02T10:33:00Z</dcterms:created>
  <dcterms:modified xsi:type="dcterms:W3CDTF">2023-02-02T13:15:00Z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